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301400</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mobility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9.13.4.2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around mobility aspects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rPr>
                <w:rFonts w:hint="eastAsia" w:eastAsia="宋体"/>
                <w:b/>
                <w:sz w:val="20"/>
                <w:szCs w:val="20"/>
                <w:u w:val="single"/>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RC_IDLE/INACTIVE</w:t>
            </w:r>
            <w:r>
              <w:rPr>
                <w:rFonts w:hint="eastAsia" w:eastAsia="宋体" w:cs="Arial"/>
                <w:b w:val="0"/>
                <w:bCs w:val="0"/>
                <w:kern w:val="0"/>
                <w:sz w:val="24"/>
                <w:szCs w:val="24"/>
                <w:lang w:val="en-US" w:eastAsia="zh-CN"/>
              </w:rPr>
              <w:t>:</w:t>
            </w:r>
          </w:p>
          <w:p>
            <w:pPr>
              <w:rPr>
                <w:b/>
                <w:sz w:val="20"/>
                <w:szCs w:val="20"/>
                <w:u w:val="single"/>
                <w:lang w:eastAsia="ko-KR"/>
              </w:rPr>
            </w:pPr>
            <w:r>
              <w:rPr>
                <w:b/>
                <w:sz w:val="20"/>
                <w:szCs w:val="20"/>
                <w:u w:val="single"/>
                <w:lang w:eastAsia="ko-KR"/>
              </w:rPr>
              <w:t>Issue 2-1-1: Cell re-selection</w:t>
            </w:r>
          </w:p>
          <w:p>
            <w:pPr>
              <w:rPr>
                <w:b/>
                <w:sz w:val="20"/>
                <w:szCs w:val="20"/>
                <w:u w:val="single"/>
                <w:lang w:eastAsia="ko-KR"/>
              </w:rPr>
            </w:pPr>
            <w:r>
              <w:rPr>
                <w:b/>
                <w:sz w:val="20"/>
                <w:szCs w:val="20"/>
                <w:u w:val="single"/>
                <w:lang w:eastAsia="ko-KR"/>
              </w:rPr>
              <w:t>Issue 2-1-1-1: Cell re-selection measurement capability</w:t>
            </w:r>
          </w:p>
          <w:p>
            <w:pPr>
              <w:spacing w:after="60"/>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greements</w:t>
            </w:r>
            <w:r>
              <w:rPr>
                <w:rFonts w:eastAsiaTheme="minorEastAsia"/>
                <w:iCs/>
                <w:sz w:val="20"/>
                <w:szCs w:val="20"/>
              </w:rPr>
              <w:t>:</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The Rel-15 NR requirements on intra-frequency and inter-frequency measurement capability requirements are reused for ATG.</w:t>
            </w:r>
          </w:p>
          <w:p>
            <w:pPr>
              <w:rPr>
                <w:b/>
                <w:sz w:val="20"/>
                <w:szCs w:val="20"/>
                <w:u w:val="single"/>
                <w:lang w:eastAsia="ko-KR"/>
              </w:rPr>
            </w:pPr>
            <w:r>
              <w:rPr>
                <w:b/>
                <w:sz w:val="20"/>
                <w:szCs w:val="20"/>
                <w:u w:val="single"/>
                <w:lang w:eastAsia="ko-KR"/>
              </w:rPr>
              <w:t>Issue 2-1-1-2: Cell re-selection mechanism</w:t>
            </w:r>
          </w:p>
          <w:p>
            <w:pPr>
              <w:spacing w:after="60"/>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greements</w:t>
            </w:r>
            <w:r>
              <w:rPr>
                <w:rFonts w:eastAsiaTheme="minorEastAsia"/>
                <w:iCs/>
                <w:sz w:val="20"/>
                <w:szCs w:val="20"/>
              </w:rPr>
              <w:t>:</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Use legacy cell-reselection rules and the procedures as baseline for ATG cell re-selection mechanism.</w:t>
            </w:r>
          </w:p>
          <w:p>
            <w:pPr>
              <w:pStyle w:val="28"/>
              <w:numPr>
                <w:ilvl w:val="1"/>
                <w:numId w:val="5"/>
              </w:numPr>
              <w:spacing w:after="120"/>
              <w:ind w:firstLineChars="0"/>
              <w:rPr>
                <w:rFonts w:eastAsia="宋体" w:cs="Times New Roman"/>
                <w:sz w:val="20"/>
                <w:szCs w:val="20"/>
              </w:rPr>
            </w:pPr>
            <w:r>
              <w:rPr>
                <w:rFonts w:eastAsia="宋体" w:cs="Times New Roman"/>
                <w:sz w:val="20"/>
                <w:szCs w:val="20"/>
              </w:rPr>
              <w:t>FFS whether additional enhanced cell re-selection mechanisms shall be considered (e.g., location, distance, speed, based).</w:t>
            </w:r>
          </w:p>
          <w:p>
            <w:pPr>
              <w:pStyle w:val="28"/>
              <w:numPr>
                <w:ilvl w:val="1"/>
                <w:numId w:val="5"/>
              </w:numPr>
              <w:spacing w:after="120"/>
              <w:ind w:firstLineChars="0"/>
              <w:rPr>
                <w:rFonts w:eastAsia="宋体" w:cs="Times New Roman"/>
                <w:sz w:val="20"/>
                <w:szCs w:val="20"/>
              </w:rPr>
            </w:pPr>
            <w:r>
              <w:rPr>
                <w:rFonts w:eastAsia="宋体" w:cs="Times New Roman"/>
                <w:sz w:val="20"/>
                <w:szCs w:val="20"/>
              </w:rPr>
              <w:t>FFS: The UE is allowed to not measure on the neighbour cell measurements based on the distance. Details are FFS.</w:t>
            </w:r>
          </w:p>
          <w:p>
            <w:pPr>
              <w:pStyle w:val="2"/>
              <w:numPr>
                <w:ilvl w:val="0"/>
                <w:numId w:val="0"/>
              </w:numPr>
              <w:spacing w:before="180" w:after="180" w:line="240" w:lineRule="auto"/>
              <w:ind w:leftChars="0"/>
              <w:rPr>
                <w:rFonts w:hint="eastAsia" w:eastAsia="宋体" w:cs="Arial"/>
                <w:b w:val="0"/>
                <w:bCs w:val="0"/>
                <w:kern w:val="0"/>
                <w:sz w:val="24"/>
                <w:szCs w:val="24"/>
                <w:lang w:val="en-US" w:eastAsia="zh-CN"/>
              </w:rPr>
            </w:pPr>
            <w:r>
              <w:rPr>
                <w:rFonts w:cs="Arial"/>
                <w:b w:val="0"/>
                <w:bCs w:val="0"/>
                <w:kern w:val="0"/>
                <w:sz w:val="24"/>
                <w:szCs w:val="24"/>
                <w:lang w:val="en-GB"/>
              </w:rPr>
              <w:t xml:space="preserve">Mobility in </w:t>
            </w:r>
            <w:r>
              <w:rPr>
                <w:rFonts w:hint="eastAsia" w:cs="Arial"/>
                <w:b w:val="0"/>
                <w:bCs w:val="0"/>
                <w:kern w:val="0"/>
                <w:sz w:val="24"/>
                <w:szCs w:val="24"/>
                <w:lang w:val="en-GB"/>
              </w:rPr>
              <w:t>R</w:t>
            </w:r>
            <w:r>
              <w:rPr>
                <w:rFonts w:cs="Arial"/>
                <w:b w:val="0"/>
                <w:bCs w:val="0"/>
                <w:kern w:val="0"/>
                <w:sz w:val="24"/>
                <w:szCs w:val="24"/>
                <w:lang w:val="en-GB"/>
              </w:rPr>
              <w:t>RC_CONNECTED</w:t>
            </w:r>
            <w:r>
              <w:rPr>
                <w:rFonts w:hint="eastAsia" w:eastAsia="宋体" w:cs="Arial"/>
                <w:b w:val="0"/>
                <w:bCs w:val="0"/>
                <w:kern w:val="0"/>
                <w:sz w:val="24"/>
                <w:szCs w:val="24"/>
                <w:lang w:val="en-US" w:eastAsia="zh-CN"/>
              </w:rPr>
              <w:t>:</w:t>
            </w:r>
          </w:p>
          <w:p>
            <w:pPr>
              <w:rPr>
                <w:b/>
                <w:sz w:val="15"/>
                <w:szCs w:val="15"/>
                <w:u w:val="single"/>
                <w:lang w:eastAsia="ko-KR"/>
              </w:rPr>
            </w:pPr>
            <w:r>
              <w:rPr>
                <w:b/>
                <w:sz w:val="20"/>
                <w:szCs w:val="20"/>
                <w:u w:val="single"/>
                <w:lang w:eastAsia="ko-KR"/>
              </w:rPr>
              <w:t>Issue 2-2-1: Handover</w:t>
            </w:r>
          </w:p>
          <w:p>
            <w:pPr>
              <w:rPr>
                <w:b/>
                <w:sz w:val="20"/>
                <w:szCs w:val="20"/>
                <w:u w:val="single"/>
                <w:lang w:eastAsia="ko-KR"/>
              </w:rPr>
            </w:pPr>
            <w:r>
              <w:rPr>
                <w:b/>
                <w:sz w:val="20"/>
                <w:szCs w:val="20"/>
                <w:u w:val="single"/>
                <w:lang w:eastAsia="ko-KR"/>
              </w:rPr>
              <w:t>Issue 2-2-1-1: NR Handover mechanism</w:t>
            </w:r>
          </w:p>
          <w:p>
            <w:pPr>
              <w:spacing w:after="60"/>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greements</w:t>
            </w:r>
            <w:r>
              <w:rPr>
                <w:rFonts w:eastAsiaTheme="minorEastAsia"/>
                <w:iCs/>
                <w:sz w:val="20"/>
                <w:szCs w:val="20"/>
              </w:rPr>
              <w:t>:</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Legacy NR Handover mechanism can be reused by ATG</w:t>
            </w:r>
          </w:p>
          <w:p>
            <w:pPr>
              <w:rPr>
                <w:b/>
                <w:sz w:val="20"/>
                <w:szCs w:val="20"/>
                <w:u w:val="single"/>
                <w:lang w:eastAsia="ko-KR"/>
              </w:rPr>
            </w:pPr>
            <w:r>
              <w:rPr>
                <w:b/>
                <w:sz w:val="20"/>
                <w:szCs w:val="20"/>
                <w:u w:val="single"/>
                <w:lang w:eastAsia="ko-KR"/>
              </w:rPr>
              <w:t>Issue 2-2-3: SA: RRC Re-establishment</w:t>
            </w:r>
          </w:p>
          <w:p>
            <w:pPr>
              <w:spacing w:after="60"/>
              <w:rPr>
                <w:rFonts w:eastAsiaTheme="minorEastAsia"/>
                <w:iCs/>
                <w:sz w:val="20"/>
                <w:szCs w:val="20"/>
              </w:rPr>
            </w:pPr>
            <w:r>
              <w:rPr>
                <w:rFonts w:hint="eastAsia" w:eastAsiaTheme="minorEastAsia"/>
                <w:iCs/>
                <w:sz w:val="20"/>
                <w:szCs w:val="20"/>
                <w:highlight w:val="yellow"/>
              </w:rPr>
              <w:t>W</w:t>
            </w:r>
            <w:r>
              <w:rPr>
                <w:rFonts w:eastAsiaTheme="minorEastAsia"/>
                <w:iCs/>
                <w:sz w:val="20"/>
                <w:szCs w:val="20"/>
                <w:highlight w:val="yellow"/>
              </w:rPr>
              <w:t>ay forward</w:t>
            </w:r>
            <w:r>
              <w:rPr>
                <w:rFonts w:eastAsiaTheme="minorEastAsia"/>
                <w:iCs/>
                <w:sz w:val="20"/>
                <w:szCs w:val="20"/>
              </w:rPr>
              <w:t>:</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Reuse the legacy requirement structure and definitions. Further discuss T</w:t>
            </w:r>
            <w:r>
              <w:rPr>
                <w:rFonts w:eastAsia="宋体" w:cs="Times New Roman"/>
                <w:sz w:val="20"/>
                <w:szCs w:val="20"/>
                <w:vertAlign w:val="subscript"/>
              </w:rPr>
              <w:t>identify_intra_NR</w:t>
            </w:r>
            <w:r>
              <w:rPr>
                <w:rFonts w:eastAsia="宋体" w:cs="Times New Roman"/>
                <w:sz w:val="20"/>
                <w:szCs w:val="20"/>
              </w:rPr>
              <w:t xml:space="preserve"> and T</w:t>
            </w:r>
            <w:r>
              <w:rPr>
                <w:rFonts w:eastAsia="宋体" w:cs="Times New Roman"/>
                <w:sz w:val="20"/>
                <w:szCs w:val="20"/>
                <w:vertAlign w:val="subscript"/>
              </w:rPr>
              <w:t>identify_inter_NR</w:t>
            </w:r>
            <w:r>
              <w:rPr>
                <w:rFonts w:eastAsia="宋体" w:cs="Times New Roman"/>
                <w:sz w:val="20"/>
                <w:szCs w:val="20"/>
              </w:rPr>
              <w:t xml:space="preserve"> in ATG condition.</w:t>
            </w:r>
          </w:p>
          <w:p>
            <w:pPr>
              <w:rPr>
                <w:b/>
                <w:sz w:val="20"/>
                <w:szCs w:val="20"/>
                <w:u w:val="single"/>
                <w:lang w:eastAsia="ko-KR"/>
              </w:rPr>
            </w:pPr>
            <w:r>
              <w:rPr>
                <w:b/>
                <w:sz w:val="20"/>
                <w:szCs w:val="20"/>
                <w:u w:val="single"/>
                <w:lang w:eastAsia="ko-KR"/>
              </w:rPr>
              <w:t>Issue 2-2-4: 2-step RA</w:t>
            </w:r>
          </w:p>
          <w:p>
            <w:pPr>
              <w:spacing w:after="60"/>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w:t>
            </w:r>
            <w:r>
              <w:rPr>
                <w:rFonts w:eastAsiaTheme="minorEastAsia"/>
                <w:iCs/>
                <w:sz w:val="20"/>
                <w:szCs w:val="20"/>
              </w:rPr>
              <w:t>:</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No need to have ATG specific requirements. (CATT, Apple)</w:t>
            </w:r>
          </w:p>
          <w:p>
            <w:pPr>
              <w:rPr>
                <w:rFonts w:eastAsia="Malgun Gothic"/>
                <w:b/>
                <w:sz w:val="20"/>
                <w:szCs w:val="20"/>
                <w:u w:val="single"/>
                <w:lang w:eastAsia="ko-KR"/>
              </w:rPr>
            </w:pPr>
            <w:r>
              <w:rPr>
                <w:rFonts w:eastAsia="Malgun Gothic"/>
                <w:b/>
                <w:sz w:val="20"/>
                <w:szCs w:val="20"/>
                <w:u w:val="single"/>
                <w:lang w:eastAsia="ko-KR"/>
              </w:rPr>
              <w:t>Issue 2-2-5: SA: RRC Connection Release with Redirection</w:t>
            </w:r>
          </w:p>
          <w:p>
            <w:pPr>
              <w:spacing w:after="60"/>
              <w:rPr>
                <w:rFonts w:eastAsiaTheme="minorEastAsia"/>
                <w:iCs/>
                <w:sz w:val="20"/>
                <w:szCs w:val="20"/>
              </w:rPr>
            </w:pPr>
            <w:r>
              <w:rPr>
                <w:rFonts w:hint="eastAsia" w:eastAsiaTheme="minorEastAsia"/>
                <w:iCs/>
                <w:sz w:val="20"/>
                <w:szCs w:val="20"/>
                <w:highlight w:val="yellow"/>
              </w:rPr>
              <w:t>W</w:t>
            </w:r>
            <w:r>
              <w:rPr>
                <w:rFonts w:eastAsiaTheme="minorEastAsia"/>
                <w:iCs/>
                <w:sz w:val="20"/>
                <w:szCs w:val="20"/>
                <w:highlight w:val="yellow"/>
              </w:rPr>
              <w:t>ay forward</w:t>
            </w:r>
            <w:r>
              <w:rPr>
                <w:rFonts w:eastAsiaTheme="minorEastAsia"/>
                <w:iCs/>
                <w:sz w:val="20"/>
                <w:szCs w:val="20"/>
              </w:rPr>
              <w:t>:</w:t>
            </w:r>
          </w:p>
          <w:p>
            <w:pPr>
              <w:pStyle w:val="28"/>
              <w:numPr>
                <w:ilvl w:val="0"/>
                <w:numId w:val="5"/>
              </w:numPr>
              <w:spacing w:after="120"/>
              <w:ind w:hanging="357" w:firstLineChars="0"/>
              <w:rPr>
                <w:rFonts w:hint="default" w:eastAsia="宋体" w:cs="Times New Roman"/>
                <w:sz w:val="20"/>
                <w:szCs w:val="20"/>
                <w:lang w:val="en-US" w:eastAsia="zh-CN"/>
              </w:rPr>
            </w:pPr>
            <w:r>
              <w:rPr>
                <w:rFonts w:eastAsia="宋体" w:cs="Times New Roman"/>
                <w:sz w:val="20"/>
                <w:szCs w:val="20"/>
              </w:rPr>
              <w:t>Reuse the legacy requirement structure and definitions. Further discuss T</w:t>
            </w:r>
            <w:r>
              <w:rPr>
                <w:rFonts w:eastAsia="宋体" w:cs="Times New Roman"/>
                <w:sz w:val="20"/>
                <w:szCs w:val="20"/>
                <w:vertAlign w:val="subscript"/>
              </w:rPr>
              <w:t>identify-NR</w:t>
            </w:r>
            <w:r>
              <w:rPr>
                <w:rFonts w:eastAsia="宋体" w:cs="Times New Roman"/>
                <w:sz w:val="20"/>
                <w:szCs w:val="20"/>
              </w:rPr>
              <w:t>.</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Still multiple issues are suspending. In this document, we will provide some further analysis on mobility aspects of ATG based on the multiple new characteristics of ATG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Mobility requirement for IDLE/INACTIVE</w:t>
      </w:r>
    </w:p>
    <w:p>
      <w:pPr>
        <w:pStyle w:val="4"/>
        <w:rPr>
          <w:rFonts w:hint="default"/>
          <w:b w:val="0"/>
          <w:bCs w:val="0"/>
          <w:sz w:val="20"/>
          <w:szCs w:val="20"/>
          <w:u w:val="single"/>
          <w:lang w:val="en-US" w:eastAsia="zh-CN"/>
        </w:rPr>
      </w:pPr>
      <w:r>
        <w:rPr>
          <w:rFonts w:hint="eastAsia" w:eastAsia="宋体" w:cs="Times New Roman"/>
          <w:b w:val="0"/>
          <w:bCs w:val="0"/>
          <w:iCs w:val="0"/>
          <w:color w:val="auto"/>
          <w:kern w:val="32"/>
          <w:sz w:val="20"/>
          <w:szCs w:val="20"/>
          <w:u w:val="single"/>
          <w:lang w:val="en-US" w:eastAsia="zh-CN" w:bidi="ar-SA"/>
        </w:rPr>
        <w:t>Mechanism of Cell re-selection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It has been approved that reusing current UE capability for NR intra-frequency and inter-frequency measurement for ATG. While regarding to the cell re-selection mechanism, it is still FFS whether need additional enhancement.  Multiple solution of cell re-selection mechanism enhancement has been proposed, such as location based, distance based, SINR based, speed based and so 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motivation of such solutions all tend to reduce or weaken the intra-frequency and inter-frequency measurement due to large ISD in ATG. In our opinion, firstly the legacy cell re-selection rule should be a baseline or the mandatory support. Regarding to whether additional enhanced cell re-selection can be considered, either not support or optional support.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ATG CPE should be more powerful than normal hand-held UE and not constraint by the size. So the power consumption is not the factor which should be mainly considered. Based on such assumption, we are not sure why we need to design a new cell re-selection rule additionally, which would impact the UE implementation and perf test greatly. The trade-off between the workload and performance gain brought by the new rule should be considered.</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The legacy cell re-selection rule should be a baseline or mandatory support. Regarding to whether additional enhanced cell re-selection can be considered, either not support or optional support.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Design an additional cell re-selection rule, which would impact the UE implementation and perf test greatly.</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2: The trade-off between the workload and performance gain brought by the new cell re-selection rule should be considered.</w:t>
      </w:r>
    </w:p>
    <w:p>
      <w:pPr>
        <w:pStyle w:val="4"/>
        <w:rPr>
          <w:rFonts w:hint="default"/>
          <w:b w:val="0"/>
          <w:bCs w:val="0"/>
          <w:sz w:val="20"/>
          <w:szCs w:val="20"/>
          <w:u w:val="single"/>
          <w:lang w:val="en-US" w:eastAsia="zh-CN"/>
        </w:rPr>
      </w:pPr>
      <w:r>
        <w:rPr>
          <w:rFonts w:hint="eastAsia" w:eastAsia="宋体" w:cs="Times New Roman"/>
          <w:b w:val="0"/>
          <w:bCs w:val="0"/>
          <w:iCs w:val="0"/>
          <w:color w:val="auto"/>
          <w:kern w:val="32"/>
          <w:sz w:val="20"/>
          <w:szCs w:val="20"/>
          <w:u w:val="single"/>
          <w:lang w:val="en-US" w:eastAsia="zh-CN" w:bidi="ar-SA"/>
        </w:rPr>
        <w:t>Requirements of Cell re-selection</w:t>
      </w:r>
    </w:p>
    <w:p>
      <w:pPr>
        <w:numPr>
          <w:ilvl w:val="0"/>
          <w:numId w:val="0"/>
        </w:numPr>
        <w:ind w:leftChars="0"/>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Regarding to the measurement requirement, the following were </w:t>
      </w:r>
      <w:r>
        <w:rPr>
          <w:rFonts w:hint="eastAsia" w:eastAsia="宋体" w:cs="Times New Roman"/>
          <w:color w:val="auto"/>
          <w:sz w:val="20"/>
          <w:szCs w:val="20"/>
          <w:highlight w:val="none"/>
          <w:lang w:val="en-US" w:eastAsia="zh-CN" w:bidi="ar-SA"/>
        </w:rPr>
        <w:t xml:space="preserve">proposed during 105 meeting </w:t>
      </w:r>
      <w:r>
        <w:rPr>
          <w:rFonts w:hint="eastAsia" w:ascii="Times New Roman" w:hAnsi="Times New Roman" w:eastAsia="宋体" w:cs="Times New Roman"/>
          <w:color w:val="auto"/>
          <w:sz w:val="20"/>
          <w:szCs w:val="20"/>
          <w:highlight w:val="none"/>
          <w:lang w:val="en-US" w:eastAsia="zh-CN" w:bidi="ar-SA"/>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5"/>
              </w:numPr>
              <w:kinsoku/>
              <w:wordWrap/>
              <w:overflowPunct w:val="0"/>
              <w:topLinePunct w:val="0"/>
              <w:autoSpaceDE w:val="0"/>
              <w:autoSpaceDN w:val="0"/>
              <w:bidi w:val="0"/>
              <w:adjustRightInd w:val="0"/>
              <w:snapToGrid/>
              <w:ind w:hanging="357" w:firstLineChars="0"/>
              <w:textAlignment w:val="baseline"/>
              <w:rPr>
                <w:rFonts w:eastAsia="宋体" w:cs="Times New Roman"/>
                <w:sz w:val="20"/>
                <w:szCs w:val="20"/>
              </w:rPr>
            </w:pPr>
            <w:r>
              <w:rPr>
                <w:rFonts w:eastAsia="宋体" w:cs="Times New Roman"/>
                <w:sz w:val="20"/>
                <w:szCs w:val="20"/>
              </w:rPr>
              <w:t xml:space="preserve">Option 1: Reuse the legacy R15 requirements on intra-frequency and inter-frequency measurement. </w:t>
            </w:r>
          </w:p>
          <w:p>
            <w:pPr>
              <w:pStyle w:val="28"/>
              <w:keepNext w:val="0"/>
              <w:keepLines w:val="0"/>
              <w:pageBreakBefore w:val="0"/>
              <w:widowControl w:val="0"/>
              <w:numPr>
                <w:ilvl w:val="0"/>
                <w:numId w:val="5"/>
              </w:numPr>
              <w:kinsoku/>
              <w:wordWrap/>
              <w:overflowPunct w:val="0"/>
              <w:topLinePunct w:val="0"/>
              <w:autoSpaceDE w:val="0"/>
              <w:autoSpaceDN w:val="0"/>
              <w:bidi w:val="0"/>
              <w:adjustRightInd w:val="0"/>
              <w:snapToGrid/>
              <w:ind w:hanging="357" w:firstLineChars="0"/>
              <w:textAlignment w:val="baseline"/>
              <w:rPr>
                <w:rFonts w:eastAsia="宋体" w:cs="Times New Roman"/>
                <w:sz w:val="20"/>
                <w:szCs w:val="20"/>
              </w:rPr>
            </w:pPr>
            <w:r>
              <w:rPr>
                <w:rFonts w:eastAsia="宋体" w:cs="Times New Roman"/>
                <w:sz w:val="20"/>
                <w:szCs w:val="20"/>
              </w:rPr>
              <w:t>Option 2: With the basic ISD assumption of [14]-200km, both legacy R15 cell-reselection requirement and HST cell-reselection requirement should be applied for ATG.</w:t>
            </w:r>
          </w:p>
          <w:p>
            <w:pPr>
              <w:pStyle w:val="28"/>
              <w:keepNext w:val="0"/>
              <w:keepLines w:val="0"/>
              <w:pageBreakBefore w:val="0"/>
              <w:widowControl w:val="0"/>
              <w:numPr>
                <w:ilvl w:val="1"/>
                <w:numId w:val="5"/>
              </w:numPr>
              <w:kinsoku/>
              <w:wordWrap/>
              <w:overflowPunct w:val="0"/>
              <w:topLinePunct w:val="0"/>
              <w:autoSpaceDE w:val="0"/>
              <w:autoSpaceDN w:val="0"/>
              <w:bidi w:val="0"/>
              <w:adjustRightInd w:val="0"/>
              <w:snapToGrid/>
              <w:ind w:firstLineChars="0"/>
              <w:textAlignment w:val="baseline"/>
              <w:rPr>
                <w:rFonts w:hint="default" w:eastAsia="宋体"/>
                <w:color w:val="auto"/>
                <w:sz w:val="20"/>
                <w:szCs w:val="20"/>
                <w:highlight w:val="none"/>
                <w:vertAlign w:val="baseline"/>
                <w:lang w:val="en-US" w:eastAsia="zh-CN"/>
              </w:rPr>
            </w:pPr>
            <w:r>
              <w:rPr>
                <w:rFonts w:eastAsia="宋体" w:cs="Times New Roman"/>
                <w:sz w:val="20"/>
                <w:szCs w:val="20"/>
              </w:rPr>
              <w:t xml:space="preserve">Option 2-1: The UE capability should be introduced for ATG similar as NTN. </w:t>
            </w:r>
          </w:p>
          <w:p>
            <w:pPr>
              <w:pStyle w:val="28"/>
              <w:keepNext w:val="0"/>
              <w:keepLines w:val="0"/>
              <w:pageBreakBefore w:val="0"/>
              <w:widowControl w:val="0"/>
              <w:numPr>
                <w:ilvl w:val="0"/>
                <w:numId w:val="5"/>
              </w:numPr>
              <w:kinsoku/>
              <w:wordWrap/>
              <w:overflowPunct w:val="0"/>
              <w:topLinePunct w:val="0"/>
              <w:autoSpaceDE w:val="0"/>
              <w:autoSpaceDN w:val="0"/>
              <w:bidi w:val="0"/>
              <w:adjustRightInd w:val="0"/>
              <w:snapToGrid/>
              <w:ind w:hanging="357" w:firstLineChars="0"/>
              <w:textAlignment w:val="baseline"/>
              <w:rPr>
                <w:rFonts w:hint="default" w:eastAsia="宋体"/>
                <w:color w:val="auto"/>
                <w:sz w:val="20"/>
                <w:szCs w:val="20"/>
                <w:highlight w:val="none"/>
                <w:vertAlign w:val="baseline"/>
                <w:lang w:val="en-US" w:eastAsia="zh-CN"/>
              </w:rPr>
            </w:pPr>
            <w:r>
              <w:rPr>
                <w:rFonts w:eastAsia="宋体" w:cs="Times New Roman"/>
                <w:sz w:val="20"/>
                <w:szCs w:val="20"/>
              </w:rPr>
              <w:t>Option 3: Postpone the discussion on cell-reselection requirement until more progress is reached on cell re-selection mechanism</w:t>
            </w:r>
            <w:r>
              <w:rPr>
                <w:rFonts w:hint="eastAsia" w:cs="Times New Roman"/>
                <w:sz w:val="20"/>
                <w:szCs w:val="20"/>
                <w:lang w:val="en-US" w:eastAsia="zh-CN"/>
              </w:rPr>
              <w:t>.</w:t>
            </w:r>
            <w:r>
              <w:rPr>
                <w:rFonts w:eastAsia="宋体" w:cs="Times New Roman"/>
                <w:sz w:val="20"/>
                <w:szCs w:val="20"/>
              </w:rPr>
              <w:t xml:space="preserve"> </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We noticed that the cell re-selection requirements of HST were referred to. By comparing the legacy requirements defined in Table 4.2.2.3-1, Table 4.2.2.4-1 with the HST FR1 requirements defined in Table 4.2.2.3-2, Table 4.2.2.4-2 in 38.133[3], we can see the </w:t>
      </w:r>
      <w:r>
        <w:t>T</w:t>
      </w:r>
      <w:r>
        <w:rPr>
          <w:vertAlign w:val="subscript"/>
        </w:rPr>
        <w:t>detect,</w:t>
      </w:r>
      <w:r>
        <w:rPr>
          <w:rFonts w:hint="eastAsia" w:eastAsia="宋体"/>
          <w:color w:val="auto"/>
          <w:sz w:val="20"/>
          <w:szCs w:val="20"/>
          <w:highlight w:val="none"/>
          <w:lang w:val="en-US" w:eastAsia="zh-CN"/>
        </w:rPr>
        <w:t xml:space="preserve"> </w:t>
      </w:r>
      <w:r>
        <w:t>T</w:t>
      </w:r>
      <w:r>
        <w:rPr>
          <w:vertAlign w:val="subscript"/>
        </w:rPr>
        <w:t>measure</w:t>
      </w:r>
      <w:r>
        <w:rPr>
          <w:rFonts w:hint="eastAsia" w:eastAsia="宋体"/>
          <w:vertAlign w:val="subscript"/>
          <w:lang w:val="en-US" w:eastAsia="zh-CN"/>
        </w:rPr>
        <w:t xml:space="preserve"> </w:t>
      </w:r>
      <w:r>
        <w:rPr>
          <w:rFonts w:hint="eastAsia" w:eastAsia="宋体"/>
          <w:color w:val="auto"/>
          <w:sz w:val="20"/>
          <w:szCs w:val="20"/>
          <w:highlight w:val="none"/>
          <w:lang w:val="en-US" w:eastAsia="zh-CN"/>
        </w:rPr>
        <w:t xml:space="preserve">and </w:t>
      </w:r>
      <w:r>
        <w:t>T</w:t>
      </w:r>
      <w:r>
        <w:rPr>
          <w:vertAlign w:val="subscript"/>
        </w:rPr>
        <w:t>evaluate</w:t>
      </w:r>
      <w:r>
        <w:rPr>
          <w:rFonts w:hint="eastAsia" w:eastAsia="宋体"/>
          <w:vertAlign w:val="subscript"/>
          <w:lang w:val="en-US" w:eastAsia="zh-CN"/>
        </w:rPr>
        <w:t xml:space="preserve"> </w:t>
      </w:r>
      <w:r>
        <w:rPr>
          <w:rFonts w:hint="eastAsia" w:eastAsia="宋体"/>
          <w:color w:val="auto"/>
          <w:sz w:val="20"/>
          <w:szCs w:val="20"/>
          <w:highlight w:val="none"/>
          <w:lang w:val="en-US" w:eastAsia="zh-CN"/>
        </w:rPr>
        <w:t>were reduced in different degree. So under ATG scenario, both legacy R15 requirements and HST FR1 enhanced requirements are both applicable, of course, the corresponding UE capability is also necessary similar as HST.</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3: Both legacy R15 requirements and HST FR1 enhanced requirements for cell re-selection are applicable. And the corresponding UE capability is also necessary similar as HST.</w:t>
      </w:r>
    </w:p>
    <w:p>
      <w:pPr>
        <w:pStyle w:val="4"/>
        <w:rPr>
          <w:rFonts w:hint="eastAsia" w:eastAsia="宋体" w:cs="Times New Roman"/>
          <w:b w:val="0"/>
          <w:bCs w:val="0"/>
          <w:iCs w:val="0"/>
          <w:color w:val="auto"/>
          <w:kern w:val="32"/>
          <w:sz w:val="20"/>
          <w:szCs w:val="20"/>
          <w:u w:val="single"/>
          <w:lang w:val="en-US" w:eastAsia="zh-CN" w:bidi="ar-SA"/>
        </w:rPr>
      </w:pPr>
      <w:r>
        <w:rPr>
          <w:rFonts w:hint="eastAsia" w:eastAsia="宋体" w:cs="Times New Roman"/>
          <w:b w:val="0"/>
          <w:bCs w:val="0"/>
          <w:iCs w:val="0"/>
          <w:color w:val="auto"/>
          <w:kern w:val="32"/>
          <w:sz w:val="20"/>
          <w:szCs w:val="20"/>
          <w:u w:val="single"/>
          <w:lang w:val="en-US" w:eastAsia="zh-CN" w:bidi="ar-SA"/>
        </w:rPr>
        <w:t>SDT</w:t>
      </w:r>
    </w:p>
    <w:p>
      <w:pPr>
        <w:numPr>
          <w:ilvl w:val="0"/>
          <w:numId w:val="0"/>
        </w:numPr>
        <w:ind w:leftChars="0"/>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Regarding to </w:t>
      </w:r>
      <w:r>
        <w:rPr>
          <w:rFonts w:hint="eastAsia" w:eastAsia="宋体" w:cs="Times New Roman"/>
          <w:color w:val="auto"/>
          <w:sz w:val="20"/>
          <w:szCs w:val="20"/>
          <w:highlight w:val="none"/>
          <w:lang w:val="en-US" w:eastAsia="zh-CN" w:bidi="ar-SA"/>
        </w:rPr>
        <w:t>SDT</w:t>
      </w:r>
      <w:r>
        <w:rPr>
          <w:rFonts w:hint="eastAsia" w:ascii="Times New Roman" w:hAnsi="Times New Roman" w:eastAsia="宋体" w:cs="Times New Roman"/>
          <w:color w:val="auto"/>
          <w:sz w:val="20"/>
          <w:szCs w:val="20"/>
          <w:highlight w:val="none"/>
          <w:lang w:val="en-US" w:eastAsia="zh-CN" w:bidi="ar-SA"/>
        </w:rPr>
        <w:t xml:space="preserve">, the following were </w:t>
      </w:r>
      <w:r>
        <w:rPr>
          <w:rFonts w:hint="eastAsia" w:eastAsia="宋体" w:cs="Times New Roman"/>
          <w:color w:val="auto"/>
          <w:sz w:val="20"/>
          <w:szCs w:val="20"/>
          <w:highlight w:val="none"/>
          <w:lang w:val="en-US" w:eastAsia="zh-CN" w:bidi="ar-SA"/>
        </w:rPr>
        <w:t xml:space="preserve">proposed during 105 meeting </w:t>
      </w:r>
      <w:r>
        <w:rPr>
          <w:rFonts w:hint="eastAsia" w:ascii="Times New Roman" w:hAnsi="Times New Roman" w:eastAsia="宋体" w:cs="Times New Roman"/>
          <w:color w:val="auto"/>
          <w:sz w:val="20"/>
          <w:szCs w:val="20"/>
          <w:highlight w:val="none"/>
          <w:lang w:val="en-US" w:eastAsia="zh-CN" w:bidi="ar-SA"/>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spacing w:after="120"/>
              <w:ind w:hanging="357" w:firstLineChars="0"/>
              <w:rPr>
                <w:rFonts w:hint="eastAsia" w:eastAsia="宋体" w:cs="Times New Roman"/>
                <w:b w:val="0"/>
                <w:bCs w:val="0"/>
                <w:iCs w:val="0"/>
                <w:color w:val="auto"/>
                <w:kern w:val="32"/>
                <w:sz w:val="20"/>
                <w:szCs w:val="20"/>
                <w:u w:val="single"/>
                <w:vertAlign w:val="baseline"/>
                <w:lang w:val="en-US" w:eastAsia="zh-CN" w:bidi="ar-SA"/>
              </w:rPr>
            </w:pPr>
            <w:r>
              <w:rPr>
                <w:rFonts w:eastAsia="宋体" w:cs="Times New Roman"/>
                <w:sz w:val="20"/>
                <w:szCs w:val="20"/>
              </w:rPr>
              <w:t>Option 1: RAN4 is not going to define ATG specific requirements.</w:t>
            </w:r>
          </w:p>
          <w:p>
            <w:pPr>
              <w:pStyle w:val="28"/>
              <w:numPr>
                <w:ilvl w:val="0"/>
                <w:numId w:val="5"/>
              </w:numPr>
              <w:spacing w:after="120"/>
              <w:ind w:hanging="357" w:firstLineChars="0"/>
              <w:rPr>
                <w:rFonts w:hint="eastAsia" w:eastAsia="宋体" w:cs="Times New Roman"/>
                <w:b w:val="0"/>
                <w:bCs w:val="0"/>
                <w:iCs w:val="0"/>
                <w:color w:val="auto"/>
                <w:kern w:val="32"/>
                <w:sz w:val="20"/>
                <w:szCs w:val="20"/>
                <w:u w:val="single"/>
                <w:vertAlign w:val="baseline"/>
                <w:lang w:val="en-US" w:eastAsia="zh-CN" w:bidi="ar-SA"/>
              </w:rPr>
            </w:pPr>
            <w:r>
              <w:rPr>
                <w:rFonts w:hint="eastAsia" w:eastAsia="宋体" w:cs="Times New Roman"/>
                <w:sz w:val="20"/>
                <w:szCs w:val="20"/>
              </w:rPr>
              <w:t>O</w:t>
            </w:r>
            <w:r>
              <w:rPr>
                <w:rFonts w:eastAsia="宋体" w:cs="Times New Roman"/>
                <w:sz w:val="20"/>
                <w:szCs w:val="20"/>
              </w:rPr>
              <w:t xml:space="preserve">ption 2: SDT is supported for A2G in Rel-18, and SDT requirements for ATG is FFS. </w:t>
            </w:r>
          </w:p>
        </w:tc>
      </w:tr>
    </w:tbl>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We are not sure the necessity of SDT for ATG scenario. SDT is only applicable for INACTIVE UE, while for ATG CPE in INACTIVE status, the demand of data transmission is nearly negligible in practice, so we can not see the use case and the potential gain to support SDT in ATG scenario.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SDT is only applicable for INACTIVE UE, while for ATG CPE in INACTIVE status, the demand of data transmission is nearly negligible in practice. So we can not see the motivation to support SDT in ATG scenario.</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Mobility requirement for CONNECTED</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Mechanism of Handover</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Referring to the NR handover mechanism, the following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Option 1: Legacy NR Handover mechanism can be reused by ATG.</w:t>
            </w:r>
          </w:p>
          <w:p>
            <w:pPr>
              <w:pStyle w:val="28"/>
              <w:numPr>
                <w:ilvl w:val="0"/>
                <w:numId w:val="5"/>
              </w:numPr>
              <w:spacing w:after="120"/>
              <w:ind w:hanging="357" w:firstLineChars="0"/>
              <w:rPr>
                <w:rFonts w:hint="default" w:eastAsia="宋体"/>
                <w:color w:val="auto"/>
                <w:sz w:val="20"/>
                <w:szCs w:val="20"/>
                <w:vertAlign w:val="baseline"/>
                <w:lang w:val="en-US" w:eastAsia="zh-CN"/>
              </w:rPr>
            </w:pPr>
            <w:r>
              <w:rPr>
                <w:rFonts w:eastAsia="宋体" w:cs="Times New Roman"/>
                <w:sz w:val="20"/>
                <w:szCs w:val="20"/>
              </w:rPr>
              <w:t xml:space="preserve">Option 2: further discuss enhanced solution for ATG hand over mechanism </w:t>
            </w:r>
          </w:p>
        </w:tc>
      </w:tr>
    </w:tbl>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last meeting, the majority prefer Option 1. Firstly, we believe the intra-frequency measurement and inter-frequency measurement for handover is necessary. If only resume such measurements when sudden events happens, since of up to 1200km/h speed, which means the regular measurements becomes to event triggered and maybe out of NW control. So regular intra-frequency measurement and inter-frequency measurement similar as legacy is needed.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Legacy NR Handover mechanism can be reused by ATG.</w:t>
      </w:r>
    </w:p>
    <w:p>
      <w:pPr>
        <w:pStyle w:val="4"/>
        <w:jc w:val="both"/>
        <w:rPr>
          <w:rFonts w:hint="default" w:eastAsia="宋体" w:cs="Times New Roman"/>
          <w:b/>
          <w:bCs/>
          <w:color w:val="auto"/>
          <w:sz w:val="20"/>
          <w:szCs w:val="20"/>
          <w:highlight w:val="none"/>
          <w:lang w:val="en-US" w:eastAsia="zh-CN" w:bidi="ar-SA"/>
        </w:rPr>
      </w:pPr>
      <w:r>
        <w:rPr>
          <w:rFonts w:hint="eastAsia" w:eastAsia="宋体"/>
          <w:color w:val="auto"/>
          <w:sz w:val="20"/>
          <w:szCs w:val="20"/>
          <w:highlight w:val="none"/>
          <w:u w:val="single"/>
          <w:lang w:val="en-US" w:eastAsia="zh-CN"/>
        </w:rPr>
        <w:t>Requirements of Handover</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Referring to the exact requirements for intra/inter-frequency measurement, for FR1-FR1 handover, we believe the following issues should be studied to identify whether additional enhancement is necessary.</w:t>
      </w:r>
    </w:p>
    <w:p>
      <w:pPr>
        <w:pStyle w:val="4"/>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1: The requirements for known case</w:t>
      </w:r>
    </w:p>
    <w:p>
      <w:pPr>
        <w:pStyle w:val="4"/>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2: The applicability of unknown case</w:t>
      </w:r>
    </w:p>
    <w:p>
      <w:pPr>
        <w:rPr>
          <w:rFonts w:hint="eastAsia"/>
          <w:lang w:val="en-US" w:eastAsia="zh-CN"/>
        </w:rPr>
      </w:pPr>
      <w:r>
        <w:rPr>
          <w:rFonts w:hint="eastAsia" w:eastAsia="宋体"/>
          <w:color w:val="auto"/>
          <w:sz w:val="20"/>
          <w:szCs w:val="20"/>
          <w:lang w:val="en-US" w:eastAsia="zh-CN"/>
        </w:rPr>
        <w:t>For Issue 1, according to the legacy requirement, f</w:t>
      </w:r>
      <w:r>
        <w:rPr>
          <w:rFonts w:hint="eastAsia"/>
          <w:lang w:val="en-US" w:eastAsia="zh-CN"/>
        </w:rPr>
        <w:t xml:space="preserve">or known case, </w:t>
      </w:r>
      <w:bookmarkStart w:id="0" w:name="OLE_LINK41"/>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rPr>
          <w:rFonts w:hint="eastAsia"/>
          <w:vertAlign w:val="subscript"/>
          <w:lang w:val="en-US" w:eastAsia="zh-CN"/>
        </w:rPr>
        <w:t xml:space="preserve"> </w:t>
      </w:r>
      <w:r>
        <w:t>ms</w:t>
      </w:r>
      <w:bookmarkEnd w:id="0"/>
      <w:r>
        <w:rPr>
          <w:rFonts w:hint="eastAsia"/>
          <w:lang w:val="en-US" w:eastAsia="zh-CN"/>
        </w:rPr>
        <w:t>, where</w:t>
      </w:r>
    </w:p>
    <w:p>
      <w:pPr>
        <w:numPr>
          <w:ilvl w:val="0"/>
          <w:numId w:val="7"/>
        </w:numPr>
        <w:ind w:left="840" w:leftChars="0" w:hanging="420" w:firstLineChars="0"/>
        <w:rPr>
          <w:rFonts w:hint="eastAsia"/>
          <w:lang w:val="en-US" w:eastAsia="zh-CN"/>
        </w:rPr>
      </w:pPr>
      <w:r>
        <w:t>T</w:t>
      </w:r>
      <w:r>
        <w:rPr>
          <w:vertAlign w:val="subscript"/>
        </w:rPr>
        <w:t>search</w:t>
      </w:r>
      <w:r>
        <w:t xml:space="preserve"> </w:t>
      </w:r>
      <w:r>
        <w:rPr>
          <w:rFonts w:hint="eastAsia"/>
          <w:lang w:val="en-US" w:eastAsia="zh-CN"/>
        </w:rPr>
        <w:t>= 0 ms.</w:t>
      </w:r>
    </w:p>
    <w:p>
      <w:pPr>
        <w:numPr>
          <w:ilvl w:val="0"/>
          <w:numId w:val="7"/>
        </w:numPr>
        <w:ind w:left="840" w:leftChars="0" w:hanging="420" w:firstLineChars="0"/>
      </w:pPr>
      <w:r>
        <w:t>T</w:t>
      </w:r>
      <w:r>
        <w:rPr>
          <w:vertAlign w:val="subscript"/>
        </w:rPr>
        <w:t>∆</w:t>
      </w:r>
      <w:r>
        <w:t xml:space="preserve"> is time for </w:t>
      </w:r>
      <w:r>
        <w:rPr>
          <w:highlight w:val="none"/>
        </w:rPr>
        <w:t xml:space="preserve">fine time tracking and acquiring full timing information of the target cell. </w:t>
      </w:r>
      <w:r>
        <w:t>T</w:t>
      </w:r>
      <w:r>
        <w:rPr>
          <w:vertAlign w:val="subscript"/>
        </w:rPr>
        <w:t>∆</w:t>
      </w:r>
      <w:r>
        <w:t xml:space="preserve"> = T</w:t>
      </w:r>
      <w:r>
        <w:rPr>
          <w:vertAlign w:val="subscript"/>
        </w:rPr>
        <w:t>rs</w:t>
      </w:r>
      <w:r>
        <w:t>.</w:t>
      </w:r>
      <w:r>
        <w:rPr>
          <w:rFonts w:hint="eastAsia"/>
          <w:lang w:val="en-US" w:eastAsia="zh-CN"/>
        </w:rPr>
        <w:t xml:space="preserve"> </w:t>
      </w:r>
    </w:p>
    <w:p>
      <w:pPr>
        <w:numPr>
          <w:ilvl w:val="0"/>
          <w:numId w:val="7"/>
        </w:numPr>
        <w:ind w:left="840" w:leftChars="0" w:hanging="420" w:firstLineChars="0"/>
        <w:rPr>
          <w:rFonts w:hint="default" w:eastAsia="宋体"/>
          <w:lang w:val="en-US" w:eastAsia="zh-CN"/>
        </w:rPr>
      </w:pPr>
      <w:r>
        <w:t>T</w:t>
      </w:r>
      <w:r>
        <w:rPr>
          <w:vertAlign w:val="subscript"/>
        </w:rPr>
        <w:t>IU</w:t>
      </w:r>
      <w:r>
        <w:t xml:space="preserve"> is the interruption uncertainty </w:t>
      </w:r>
      <w:r>
        <w:rPr>
          <w:lang w:eastAsia="zh-CN"/>
        </w:rPr>
        <w:t>in acquiring the first available PRACH occasion in the new cell</w:t>
      </w:r>
      <w:r>
        <w:t xml:space="preserve">. </w:t>
      </w:r>
    </w:p>
    <w:p>
      <w:pPr>
        <w:numPr>
          <w:ilvl w:val="0"/>
          <w:numId w:val="7"/>
        </w:numPr>
        <w:ind w:left="840" w:leftChars="0" w:hanging="420" w:firstLineChars="0"/>
        <w:rPr>
          <w:rFonts w:hint="default"/>
          <w:lang w:val="en-US" w:eastAsia="zh-CN"/>
        </w:rPr>
      </w:pPr>
      <w:r>
        <w:t>T</w:t>
      </w:r>
      <w:r>
        <w:rPr>
          <w:vertAlign w:val="subscript"/>
          <w:lang w:eastAsia="zh-CN"/>
        </w:rPr>
        <w:t>processing</w:t>
      </w:r>
      <w:r>
        <w:t xml:space="preserve"> is time for UE processing. T</w:t>
      </w:r>
      <w:r>
        <w:rPr>
          <w:vertAlign w:val="subscript"/>
          <w:lang w:eastAsia="zh-CN"/>
        </w:rPr>
        <w:t>processing</w:t>
      </w:r>
      <w:r>
        <w:t xml:space="preserve"> can be up to 20ms.</w:t>
      </w:r>
      <w:r>
        <w:rPr>
          <w:rFonts w:hint="eastAsia"/>
          <w:lang w:val="en-US" w:eastAsia="zh-CN"/>
        </w:rPr>
        <w:t xml:space="preserve"> </w:t>
      </w:r>
    </w:p>
    <w:p>
      <w:pPr>
        <w:numPr>
          <w:ilvl w:val="0"/>
          <w:numId w:val="7"/>
        </w:numPr>
        <w:ind w:left="840" w:leftChars="0" w:hanging="420" w:firstLineChars="0"/>
        <w:rPr>
          <w:rFonts w:hint="default"/>
          <w:lang w:val="en-US" w:eastAsia="zh-CN"/>
        </w:rPr>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r>
        <w:rPr>
          <w:rFonts w:hint="eastAsia"/>
          <w:lang w:val="en-US" w:eastAsia="zh-CN"/>
        </w:rPr>
        <w:t xml:space="preserve">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known target cell, the handover delay is rough estimated as 102ms(assuming SMTC is 40 ms), Considering the velocity of 1200km/h, ATG UE can move about 34 m. The handover range can cover such distance. So not need to introduce additional enhancement. Reusing legacy requirements is fine.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Considering the requirements for known case handover, re-using legacy legacy requirement for ATG UE is fine.</w:t>
      </w:r>
    </w:p>
    <w:p>
      <w:pPr>
        <w:rPr>
          <w:rFonts w:hint="default" w:ascii="Times New Roman" w:hAnsi="Times New Roman" w:eastAsia="宋体" w:cs="Times New Roman"/>
          <w:b w:val="0"/>
          <w:bCs/>
          <w:kern w:val="44"/>
          <w:sz w:val="24"/>
          <w:szCs w:val="24"/>
          <w:lang w:val="en-US" w:eastAsia="zh-CN" w:bidi="ar-SA"/>
        </w:rPr>
      </w:pPr>
      <w:r>
        <w:rPr>
          <w:rFonts w:hint="eastAsia" w:ascii="Times New Roman" w:hAnsi="Times New Roman" w:eastAsia="宋体" w:cs="Times New Roman"/>
          <w:color w:val="auto"/>
          <w:sz w:val="20"/>
          <w:szCs w:val="20"/>
          <w:lang w:val="en-US" w:eastAsia="zh-CN" w:bidi="ar-SA"/>
        </w:rPr>
        <w:t xml:space="preserve">For Issue 2, considering unknown case, If the target cell is an unknown intra-frequency cell and the target cell Es/Iot≥-2 dB, then </w:t>
      </w:r>
      <w:r>
        <w:rPr>
          <w:highlight w:val="none"/>
        </w:rPr>
        <w:t>T</w:t>
      </w:r>
      <w:r>
        <w:rPr>
          <w:highlight w:val="none"/>
          <w:vertAlign w:val="subscript"/>
        </w:rPr>
        <w:t>search</w:t>
      </w:r>
      <w:r>
        <w:rPr>
          <w:highlight w:val="none"/>
        </w:rPr>
        <w:t xml:space="preserve"> = T</w:t>
      </w:r>
      <w:r>
        <w:rPr>
          <w:highlight w:val="none"/>
          <w:vertAlign w:val="subscript"/>
        </w:rPr>
        <w:t>rs</w:t>
      </w:r>
      <w:r>
        <w:t xml:space="preserve"> </w:t>
      </w:r>
      <w:r>
        <w:rPr>
          <w:rFonts w:hint="eastAsia" w:ascii="Times New Roman" w:hAnsi="Times New Roman" w:eastAsia="宋体" w:cs="Times New Roman"/>
          <w:color w:val="auto"/>
          <w:sz w:val="20"/>
          <w:szCs w:val="20"/>
          <w:lang w:val="en-US" w:eastAsia="zh-CN" w:bidi="ar-SA"/>
        </w:rPr>
        <w:t>ms. If the target cell is an unknown inter-frequency cell and the target cell Es/Iot≥-2 dB, then</w:t>
      </w:r>
      <w:r>
        <w:t xml:space="preserve"> </w:t>
      </w:r>
      <w:r>
        <w:rPr>
          <w:highlight w:val="none"/>
        </w:rPr>
        <w:t>T</w:t>
      </w:r>
      <w:r>
        <w:rPr>
          <w:highlight w:val="none"/>
          <w:vertAlign w:val="subscript"/>
        </w:rPr>
        <w:t>search</w:t>
      </w:r>
      <w:r>
        <w:rPr>
          <w:highlight w:val="none"/>
        </w:rPr>
        <w:t xml:space="preserve"> = 3* T</w:t>
      </w:r>
      <w:r>
        <w:rPr>
          <w:highlight w:val="none"/>
          <w:vertAlign w:val="subscript"/>
        </w:rPr>
        <w:t>rs</w:t>
      </w:r>
      <w:r>
        <w:rPr>
          <w:highlight w:val="none"/>
        </w:rPr>
        <w:t xml:space="preserve"> </w:t>
      </w:r>
      <w:r>
        <w:rPr>
          <w:rFonts w:hint="eastAsia" w:eastAsia="宋体"/>
          <w:color w:val="auto"/>
          <w:sz w:val="20"/>
          <w:szCs w:val="20"/>
          <w:lang w:val="en-US" w:eastAsia="zh-CN"/>
        </w:rPr>
        <w:t xml:space="preserve">ms. </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ATG scenario, gNBs should be deployed to cover the whole air line. Since the trajectory is deterministic, so the known case is the common case. So not need to consider unknown case, which is same as the handling in HST. Just keep align with legacy is fine.</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Since the trajectory is deterministic, so handover to the known case is the common case. Regarding to the unknown case, keep align with legacy is fine.</w:t>
      </w:r>
    </w:p>
    <w:p>
      <w:pPr>
        <w:pStyle w:val="4"/>
        <w:numPr>
          <w:ilvl w:val="0"/>
          <w:numId w:val="0"/>
        </w:numPr>
        <w:ind w:leftChars="0"/>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Whether need Conditional Handover</w:t>
      </w:r>
    </w:p>
    <w:p>
      <w:pPr>
        <w:pStyle w:val="4"/>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During 105 meeting, the following options around CHO is proposed: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 xml:space="preserve">Option 1: Not to consider conditional handover for ATG UE at least in Rel-18 </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Option 2: Introduce legacy CHO for ATG</w:t>
            </w:r>
          </w:p>
          <w:p>
            <w:pPr>
              <w:pStyle w:val="28"/>
              <w:numPr>
                <w:ilvl w:val="1"/>
                <w:numId w:val="5"/>
              </w:numPr>
              <w:spacing w:after="120"/>
              <w:ind w:firstLineChars="0"/>
              <w:rPr>
                <w:rFonts w:eastAsia="宋体" w:cs="Times New Roman"/>
                <w:sz w:val="20"/>
                <w:szCs w:val="20"/>
              </w:rPr>
            </w:pPr>
            <w:r>
              <w:rPr>
                <w:rFonts w:hint="eastAsia" w:eastAsia="宋体" w:cs="Times New Roman"/>
                <w:sz w:val="20"/>
                <w:szCs w:val="20"/>
              </w:rPr>
              <w:t>O</w:t>
            </w:r>
            <w:r>
              <w:rPr>
                <w:rFonts w:eastAsia="宋体" w:cs="Times New Roman"/>
                <w:sz w:val="20"/>
                <w:szCs w:val="20"/>
              </w:rPr>
              <w:t xml:space="preserve">ption 2-1: The legacy R16 CHO delay requirements can be reused. </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Option 3: Introduce location-based CHO for ATG</w:t>
            </w:r>
          </w:p>
          <w:p>
            <w:pPr>
              <w:pStyle w:val="28"/>
              <w:numPr>
                <w:ilvl w:val="1"/>
                <w:numId w:val="5"/>
              </w:numPr>
              <w:spacing w:after="120"/>
              <w:ind w:firstLineChars="0"/>
              <w:rPr>
                <w:rFonts w:eastAsia="宋体" w:cs="Times New Roman"/>
                <w:sz w:val="20"/>
                <w:szCs w:val="20"/>
              </w:rPr>
            </w:pPr>
            <w:r>
              <w:rPr>
                <w:rFonts w:eastAsia="宋体" w:cs="Times New Roman"/>
                <w:sz w:val="20"/>
                <w:szCs w:val="20"/>
              </w:rPr>
              <w:t xml:space="preserve">Option 3-1: The logic and signalling from R17 NTN could be reused, while the location-based CHO delay requirements should be revisited in ATG scenario. </w:t>
            </w:r>
          </w:p>
          <w:p>
            <w:pPr>
              <w:pStyle w:val="28"/>
              <w:numPr>
                <w:ilvl w:val="1"/>
                <w:numId w:val="5"/>
              </w:numPr>
              <w:spacing w:after="120"/>
              <w:ind w:firstLineChars="0"/>
              <w:rPr>
                <w:rFonts w:eastAsia="宋体" w:cs="Times New Roman"/>
                <w:sz w:val="20"/>
                <w:szCs w:val="20"/>
              </w:rPr>
            </w:pPr>
            <w:r>
              <w:rPr>
                <w:rFonts w:hint="eastAsia" w:eastAsia="宋体" w:cs="Times New Roman"/>
                <w:sz w:val="20"/>
                <w:szCs w:val="20"/>
              </w:rPr>
              <w:t>O</w:t>
            </w:r>
            <w:r>
              <w:rPr>
                <w:rFonts w:eastAsia="宋体" w:cs="Times New Roman"/>
                <w:sz w:val="20"/>
                <w:szCs w:val="20"/>
              </w:rPr>
              <w:t>ption 3-2: reuse legacy CHO requirement framework</w:t>
            </w:r>
          </w:p>
          <w:p>
            <w:pPr>
              <w:pStyle w:val="28"/>
              <w:numPr>
                <w:ilvl w:val="0"/>
                <w:numId w:val="5"/>
              </w:numPr>
              <w:spacing w:after="120"/>
              <w:ind w:hanging="357" w:firstLineChars="0"/>
              <w:rPr>
                <w:rFonts w:hint="default" w:eastAsia="宋体"/>
                <w:color w:val="auto"/>
                <w:sz w:val="20"/>
                <w:szCs w:val="20"/>
                <w:vertAlign w:val="baseline"/>
                <w:lang w:val="en-US" w:eastAsia="zh-CN"/>
              </w:rPr>
            </w:pPr>
            <w:r>
              <w:rPr>
                <w:rFonts w:eastAsia="宋体" w:cs="Times New Roman"/>
                <w:sz w:val="20"/>
                <w:szCs w:val="20"/>
              </w:rPr>
              <w:t xml:space="preserve">Option 4: CHO is supported for A2G in Rel-18, and CHO requirements for ATG is FFS. </w:t>
            </w:r>
          </w:p>
        </w:tc>
      </w:tr>
    </w:tbl>
    <w:p>
      <w:pPr>
        <w:pStyle w:val="4"/>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Location based CHO was introduced in R17 NTN. No matter legacy CHO or location based CHO, they are all optional features. In R17 ATG, without such optional features would not impact the system work, so we believe no need to consider CHO for ATG UE at least in R18.</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No need to consider CHO for ATG UE at least in R18.</w:t>
      </w: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RRC re-establishment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When the lose of RRC connection happening since of some failure case, it is necessary to perform RRC re-establishment. The requirements of RRC re-establishment for FR1 can be re-used for ATG.</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9: Re-using the legacy RRC re-establishment requirements for ATG UE.</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RRC release with redirection</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Regarding to the RRC release with redirection, the following WF were kept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60"/>
              <w:rPr>
                <w:rFonts w:eastAsiaTheme="minorEastAsia"/>
                <w:iCs/>
                <w:sz w:val="20"/>
                <w:szCs w:val="20"/>
              </w:rPr>
            </w:pPr>
            <w:r>
              <w:rPr>
                <w:rFonts w:hint="eastAsia" w:eastAsiaTheme="minorEastAsia"/>
                <w:iCs/>
                <w:sz w:val="20"/>
                <w:szCs w:val="20"/>
              </w:rPr>
              <w:t>W</w:t>
            </w:r>
            <w:r>
              <w:rPr>
                <w:rFonts w:eastAsiaTheme="minorEastAsia"/>
                <w:iCs/>
                <w:sz w:val="20"/>
                <w:szCs w:val="20"/>
              </w:rPr>
              <w:t>ay forward:</w:t>
            </w:r>
          </w:p>
          <w:p>
            <w:pPr>
              <w:pStyle w:val="28"/>
              <w:numPr>
                <w:ilvl w:val="0"/>
                <w:numId w:val="5"/>
              </w:numPr>
              <w:spacing w:after="120"/>
              <w:ind w:hanging="357" w:firstLineChars="0"/>
              <w:rPr>
                <w:rFonts w:hint="default" w:eastAsia="宋体"/>
                <w:color w:val="auto"/>
                <w:sz w:val="20"/>
                <w:szCs w:val="20"/>
                <w:vertAlign w:val="baseline"/>
                <w:lang w:val="en-US" w:eastAsia="zh-CN"/>
              </w:rPr>
            </w:pPr>
            <w:r>
              <w:rPr>
                <w:rFonts w:eastAsia="宋体" w:cs="Times New Roman"/>
                <w:sz w:val="20"/>
                <w:szCs w:val="20"/>
              </w:rPr>
              <w:t>Reuse the legacy requirement structure and definitions. Further discuss T</w:t>
            </w:r>
            <w:r>
              <w:rPr>
                <w:rFonts w:eastAsia="宋体" w:cs="Times New Roman"/>
                <w:sz w:val="20"/>
                <w:szCs w:val="20"/>
                <w:vertAlign w:val="subscript"/>
              </w:rPr>
              <w:t>identify-NR</w:t>
            </w:r>
            <w:r>
              <w:rPr>
                <w:rFonts w:eastAsia="宋体" w:cs="Times New Roman"/>
                <w:sz w:val="20"/>
                <w:szCs w:val="20"/>
              </w:rPr>
              <w:t>.</w:t>
            </w:r>
          </w:p>
        </w:tc>
      </w:tr>
    </w:tbl>
    <w:p>
      <w:pPr>
        <w:pStyle w:val="4"/>
        <w:jc w:val="both"/>
        <w:rPr>
          <w:rFonts w:hint="default" w:cs="v4.2.0"/>
          <w:vertAlign w:val="subscript"/>
          <w:lang w:val="en-US"/>
        </w:rPr>
      </w:pPr>
      <w:r>
        <w:rPr>
          <w:rFonts w:hint="eastAsia" w:eastAsia="宋体"/>
          <w:color w:val="auto"/>
          <w:sz w:val="20"/>
          <w:szCs w:val="20"/>
          <w:lang w:val="en-US" w:eastAsia="zh-CN"/>
        </w:rPr>
        <w:t xml:space="preserve">Based on current requirements, if redirection to NR, </w:t>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hint="eastAsia" w:eastAsia="宋体"/>
          <w:color w:val="auto"/>
          <w:sz w:val="20"/>
          <w:szCs w:val="20"/>
          <w:lang w:val="en-US" w:eastAsia="zh-CN"/>
        </w:rPr>
        <w:t xml:space="preserve">. If redirection to LTE, </w:t>
      </w:r>
      <w:r>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r>
        <w:rPr>
          <w:rFonts w:hint="eastAsia" w:eastAsia="宋体"/>
          <w:color w:val="auto"/>
          <w:sz w:val="20"/>
          <w:szCs w:val="20"/>
          <w:lang w:val="en-US" w:eastAsia="zh-CN"/>
        </w:rPr>
        <w:t xml:space="preserve">. </w:t>
      </w:r>
    </w:p>
    <w:p>
      <w:pPr>
        <w:pStyle w:val="4"/>
        <w:jc w:val="both"/>
        <w:rPr>
          <w:rFonts w:hint="default" w:eastAsia="宋体"/>
          <w:color w:val="auto"/>
          <w:sz w:val="20"/>
          <w:szCs w:val="20"/>
          <w:lang w:val="en-US" w:eastAsia="zh-CN"/>
        </w:rPr>
      </w:pPr>
      <w:r>
        <w:rPr>
          <w:rFonts w:hint="eastAsia" w:eastAsia="宋体"/>
          <w:color w:val="auto"/>
          <w:sz w:val="20"/>
          <w:szCs w:val="20"/>
          <w:lang w:val="en-US" w:eastAsia="zh-CN"/>
        </w:rPr>
        <w:t xml:space="preserve">We prefer Option 1, i.e. reuse the current definitions of RRC connection release with redirection delay requirements on </w:t>
      </w:r>
      <w:r>
        <w:t>T</w:t>
      </w:r>
      <w:r>
        <w:rPr>
          <w:vertAlign w:val="subscript"/>
        </w:rPr>
        <w:t>RRC_procedure_delay</w:t>
      </w:r>
      <w:r>
        <w:rPr>
          <w:rFonts w:hint="eastAsia" w:eastAsia="宋体"/>
          <w:color w:val="auto"/>
          <w:sz w:val="20"/>
          <w:szCs w:val="20"/>
          <w:lang w:val="en-US" w:eastAsia="zh-CN"/>
        </w:rPr>
        <w:t xml:space="preserve">, </w:t>
      </w:r>
      <w:r>
        <w:rPr>
          <w:rFonts w:cs="v4.2.0"/>
        </w:rPr>
        <w:t>T</w:t>
      </w:r>
      <w:r>
        <w:rPr>
          <w:rFonts w:cs="v4.2.0"/>
          <w:vertAlign w:val="subscript"/>
        </w:rPr>
        <w:t>identify-NR</w:t>
      </w:r>
      <w:r>
        <w:rPr>
          <w:rFonts w:hint="eastAsia" w:eastAsia="宋体"/>
          <w:color w:val="auto"/>
          <w:sz w:val="20"/>
          <w:szCs w:val="20"/>
          <w:lang w:val="en-US" w:eastAsia="zh-CN"/>
        </w:rPr>
        <w:t xml:space="preserve">, </w:t>
      </w:r>
      <w:r>
        <w:rPr>
          <w:rFonts w:cs="v4.2.0"/>
        </w:rPr>
        <w:t>T</w:t>
      </w:r>
      <w:r>
        <w:rPr>
          <w:rFonts w:cs="v4.2.0"/>
          <w:vertAlign w:val="subscript"/>
        </w:rPr>
        <w:t>SI-NR</w:t>
      </w:r>
      <w:r>
        <w:rPr>
          <w:rFonts w:hint="eastAsia" w:eastAsia="宋体" w:cs="v4.2.0"/>
          <w:vertAlign w:val="subscript"/>
          <w:lang w:val="en-US" w:eastAsia="zh-CN"/>
        </w:rPr>
        <w:t xml:space="preserve"> </w:t>
      </w:r>
      <w:r>
        <w:rPr>
          <w:rFonts w:hint="eastAsia" w:eastAsia="宋体"/>
          <w:color w:val="auto"/>
          <w:sz w:val="20"/>
          <w:szCs w:val="20"/>
          <w:lang w:val="en-US" w:eastAsia="zh-CN"/>
        </w:rPr>
        <w:t xml:space="preserve">and </w:t>
      </w:r>
      <w:r>
        <w:rPr>
          <w:rFonts w:cs="v4.2.0"/>
        </w:rPr>
        <w:t>T</w:t>
      </w:r>
      <w:r>
        <w:rPr>
          <w:rFonts w:cs="v4.2.0"/>
          <w:vertAlign w:val="subscript"/>
        </w:rPr>
        <w:t>RACH</w:t>
      </w:r>
      <w:r>
        <w:rPr>
          <w:rFonts w:hint="eastAsia" w:eastAsia="宋体"/>
          <w:color w:val="auto"/>
          <w:sz w:val="20"/>
          <w:szCs w:val="20"/>
          <w:lang w:val="en-US" w:eastAsia="zh-CN"/>
        </w:rPr>
        <w:t>.</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10: Re-using the requirements of legacy RRC release with redirection to NR target cell.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RRM aspects for ATG system</w:t>
      </w:r>
      <w:r>
        <w:rPr>
          <w:rFonts w:eastAsia="宋体"/>
          <w:bCs/>
          <w:color w:val="auto"/>
          <w:sz w:val="20"/>
          <w:szCs w:val="20"/>
          <w:lang w:val="en-GB" w:eastAsia="zh-CN"/>
        </w:rPr>
        <w:t>:</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The legacy cell re-selection rule should be a baseline or mandatory support. Regarding to whether additional enhanced cell re-selection can be considered, either not support or optional support.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ATG CPE should be more powerful than normal hand-held UE and not constraint by the size. So the power consumption is not the factor which should be mainly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Design an additional cell re-selection rule, which would impact the UE implementation and perf test greatly.</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2: The trade-off between the workload and performance gain brought by the new cell re-selection rule should be considered.</w:t>
      </w:r>
    </w:p>
    <w:p>
      <w:pPr>
        <w:pStyle w:val="4"/>
        <w:rPr>
          <w:rFonts w:hint="default"/>
          <w:lang w:val="en-US" w:eastAsia="zh-CN"/>
        </w:rPr>
      </w:pPr>
      <w:r>
        <w:rPr>
          <w:rFonts w:hint="eastAsia" w:eastAsia="宋体" w:cs="Times New Roman"/>
          <w:b/>
          <w:bCs/>
          <w:color w:val="auto"/>
          <w:sz w:val="20"/>
          <w:szCs w:val="20"/>
          <w:highlight w:val="none"/>
          <w:lang w:val="en-US" w:eastAsia="zh-CN" w:bidi="ar-SA"/>
        </w:rPr>
        <w:t>Proposal 3: Both legacy R15 requirements and HST FR1 enhanced requirements for cell re-selection are applicable. And the corresponding UE capability is also necessary similar as HST.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SDT is only applicable for INACTIVE UE, while for ATG CPE in INACTIVE status, the demand of data transmission is nearly negligible in practice. So we can not see the motivation to support SDT in ATG scenario.</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Legacy NR Handover mechanism can be reused by ATG.</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Considering the requirements for known case handover, re-using legacy legacy requirement for ATG UE is fine.</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Since the trajectory is deterministic, so handover to the known case is the common case. Regarding to the unknown case, keep align with legacy is fine.</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No need to consider CHO for ATG UE at least in R18.</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9: Re-using the legacy RRC re-establishment requirements for ATG UE.</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10: Re-using the requirements of legacy RRC release with redirection to NR target cell.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8"/>
        </w:numPr>
        <w:ind w:left="0" w:leftChars="0" w:firstLine="0" w:firstLineChars="0"/>
        <w:rPr>
          <w:rFonts w:hint="eastAsia"/>
          <w:color w:val="auto"/>
          <w:lang w:val="en-US" w:eastAsia="zh-CN"/>
        </w:rPr>
      </w:pPr>
      <w:r>
        <w:rPr>
          <w:rFonts w:hint="eastAsia"/>
          <w:color w:val="auto"/>
          <w:lang w:val="en-US" w:eastAsia="zh-CN"/>
        </w:rPr>
        <w:t xml:space="preserve">RP-2220361 </w:t>
      </w:r>
      <w:r>
        <w:rPr>
          <w:rFonts w:hint="default"/>
          <w:color w:val="auto"/>
          <w:lang w:val="en-US" w:eastAsia="zh-CN"/>
        </w:rPr>
        <w:t>“</w:t>
      </w:r>
      <w:bookmarkStart w:id="1" w:name="_Hlk41145953"/>
      <w:r>
        <w:rPr>
          <w:rFonts w:hint="default"/>
          <w:color w:val="auto"/>
          <w:lang w:val="en-US" w:eastAsia="zh-CN"/>
        </w:rPr>
        <w:t>WF on NR ATG RRM</w:t>
      </w:r>
      <w:bookmarkEnd w:id="1"/>
      <w:r>
        <w:rPr>
          <w:rFonts w:hint="default"/>
          <w:color w:val="auto"/>
          <w:lang w:val="en-US" w:eastAsia="zh-CN"/>
        </w:rPr>
        <w:t xml:space="preserve"> requirements”</w:t>
      </w:r>
      <w:r>
        <w:rPr>
          <w:rFonts w:hint="eastAsia"/>
          <w:color w:val="auto"/>
          <w:lang w:val="en-US" w:eastAsia="zh-CN"/>
        </w:rPr>
        <w:t>, CMCC</w:t>
      </w:r>
    </w:p>
    <w:p>
      <w:pPr>
        <w:pStyle w:val="9"/>
        <w:numPr>
          <w:ilvl w:val="0"/>
          <w:numId w:val="8"/>
        </w:numPr>
        <w:ind w:left="0" w:leftChars="0" w:firstLine="0" w:firstLineChars="0"/>
        <w:rPr>
          <w:rFonts w:hint="default"/>
          <w:color w:val="auto"/>
          <w:lang w:val="en-US" w:eastAsia="zh-CN"/>
        </w:rPr>
      </w:pPr>
      <w:r>
        <w:rPr>
          <w:rFonts w:hint="eastAsia"/>
          <w:color w:val="auto"/>
          <w:lang w:val="en-US" w:eastAsia="zh-CN"/>
        </w:rPr>
        <w:t>TS 38.133-h80.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CD74ABD"/>
    <w:multiLevelType w:val="singleLevel"/>
    <w:tmpl w:val="0CD74ABD"/>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2"/>
  </w:num>
  <w:num w:numId="4">
    <w:abstractNumId w:val="3"/>
  </w:num>
  <w:num w:numId="5">
    <w:abstractNumId w:val="6"/>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4BF8"/>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CD3CDD"/>
    <w:rsid w:val="083E6EA0"/>
    <w:rsid w:val="0855671D"/>
    <w:rsid w:val="089009EB"/>
    <w:rsid w:val="08EA2407"/>
    <w:rsid w:val="09716BCA"/>
    <w:rsid w:val="09A356DC"/>
    <w:rsid w:val="09D64B23"/>
    <w:rsid w:val="09DC697F"/>
    <w:rsid w:val="09E644B8"/>
    <w:rsid w:val="0A867423"/>
    <w:rsid w:val="0AB155C2"/>
    <w:rsid w:val="0B12013A"/>
    <w:rsid w:val="0B3D3C2F"/>
    <w:rsid w:val="0BB0429A"/>
    <w:rsid w:val="0BDD6CEC"/>
    <w:rsid w:val="0BFF5FC6"/>
    <w:rsid w:val="0C394019"/>
    <w:rsid w:val="0CD05342"/>
    <w:rsid w:val="0CDB4E5B"/>
    <w:rsid w:val="0DEE745F"/>
    <w:rsid w:val="0E911950"/>
    <w:rsid w:val="0FAD3D1E"/>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66730"/>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1014C39"/>
    <w:rsid w:val="21244EB1"/>
    <w:rsid w:val="213964D8"/>
    <w:rsid w:val="21595D04"/>
    <w:rsid w:val="21F13629"/>
    <w:rsid w:val="223236B6"/>
    <w:rsid w:val="2255462C"/>
    <w:rsid w:val="2305377E"/>
    <w:rsid w:val="23901822"/>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CE6564D"/>
    <w:rsid w:val="2E014790"/>
    <w:rsid w:val="2EE77680"/>
    <w:rsid w:val="2F2F0FC8"/>
    <w:rsid w:val="2FA70460"/>
    <w:rsid w:val="301C6BB6"/>
    <w:rsid w:val="30515663"/>
    <w:rsid w:val="319708F2"/>
    <w:rsid w:val="31A8260E"/>
    <w:rsid w:val="31B14C9E"/>
    <w:rsid w:val="332B149D"/>
    <w:rsid w:val="33C522D7"/>
    <w:rsid w:val="344C156B"/>
    <w:rsid w:val="34807672"/>
    <w:rsid w:val="35510C5F"/>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F869D2"/>
    <w:rsid w:val="43553536"/>
    <w:rsid w:val="44665ED2"/>
    <w:rsid w:val="44972678"/>
    <w:rsid w:val="451632B9"/>
    <w:rsid w:val="45906394"/>
    <w:rsid w:val="45F60A50"/>
    <w:rsid w:val="46142D0C"/>
    <w:rsid w:val="46263A53"/>
    <w:rsid w:val="46970A81"/>
    <w:rsid w:val="46B036BF"/>
    <w:rsid w:val="46CC320F"/>
    <w:rsid w:val="47282363"/>
    <w:rsid w:val="47810C98"/>
    <w:rsid w:val="47924F0A"/>
    <w:rsid w:val="47EE5B4D"/>
    <w:rsid w:val="48F407FD"/>
    <w:rsid w:val="491F76E6"/>
    <w:rsid w:val="49DC4EAC"/>
    <w:rsid w:val="49E55BC5"/>
    <w:rsid w:val="4A5D0BB5"/>
    <w:rsid w:val="4B600E77"/>
    <w:rsid w:val="4B8F684D"/>
    <w:rsid w:val="4BF02011"/>
    <w:rsid w:val="4C1C63D6"/>
    <w:rsid w:val="4C2D52ED"/>
    <w:rsid w:val="4C864A35"/>
    <w:rsid w:val="4D207A05"/>
    <w:rsid w:val="4D53283E"/>
    <w:rsid w:val="4E015C76"/>
    <w:rsid w:val="4E310026"/>
    <w:rsid w:val="4E4A2325"/>
    <w:rsid w:val="4FC7362A"/>
    <w:rsid w:val="501A6C55"/>
    <w:rsid w:val="505622E5"/>
    <w:rsid w:val="515B1740"/>
    <w:rsid w:val="51B14BED"/>
    <w:rsid w:val="52526454"/>
    <w:rsid w:val="525C1CEF"/>
    <w:rsid w:val="528B5767"/>
    <w:rsid w:val="52D33625"/>
    <w:rsid w:val="53A3105E"/>
    <w:rsid w:val="53C64B93"/>
    <w:rsid w:val="548A6C60"/>
    <w:rsid w:val="54B73762"/>
    <w:rsid w:val="55B1164D"/>
    <w:rsid w:val="55B4735E"/>
    <w:rsid w:val="55BB221D"/>
    <w:rsid w:val="56371459"/>
    <w:rsid w:val="56484633"/>
    <w:rsid w:val="57FF4799"/>
    <w:rsid w:val="58D0053D"/>
    <w:rsid w:val="595A2A3C"/>
    <w:rsid w:val="598C40A0"/>
    <w:rsid w:val="59DA647E"/>
    <w:rsid w:val="5A556E1A"/>
    <w:rsid w:val="5A646258"/>
    <w:rsid w:val="5BF92FF2"/>
    <w:rsid w:val="5C924E81"/>
    <w:rsid w:val="5D0466F6"/>
    <w:rsid w:val="5E2864D0"/>
    <w:rsid w:val="5E494511"/>
    <w:rsid w:val="5EB44FC0"/>
    <w:rsid w:val="5F6120F2"/>
    <w:rsid w:val="5FBA395F"/>
    <w:rsid w:val="60094E5C"/>
    <w:rsid w:val="606F38F4"/>
    <w:rsid w:val="60EC2CBA"/>
    <w:rsid w:val="60F20F7F"/>
    <w:rsid w:val="61CC2D28"/>
    <w:rsid w:val="635902CD"/>
    <w:rsid w:val="64706BBE"/>
    <w:rsid w:val="64F2095B"/>
    <w:rsid w:val="65A16A49"/>
    <w:rsid w:val="66105DCB"/>
    <w:rsid w:val="66F31E7F"/>
    <w:rsid w:val="67A858DB"/>
    <w:rsid w:val="67F953C2"/>
    <w:rsid w:val="67FE4166"/>
    <w:rsid w:val="68C401C3"/>
    <w:rsid w:val="69A833BD"/>
    <w:rsid w:val="69EF6835"/>
    <w:rsid w:val="6CB41273"/>
    <w:rsid w:val="6D566F0F"/>
    <w:rsid w:val="6D836F72"/>
    <w:rsid w:val="6DDE3DAF"/>
    <w:rsid w:val="6E3241BE"/>
    <w:rsid w:val="6EB97A9D"/>
    <w:rsid w:val="6EF10A90"/>
    <w:rsid w:val="6EFC7DED"/>
    <w:rsid w:val="6F2A7FBF"/>
    <w:rsid w:val="6F9B4594"/>
    <w:rsid w:val="6FFF1868"/>
    <w:rsid w:val="715F4C2D"/>
    <w:rsid w:val="722F78FB"/>
    <w:rsid w:val="723C2F8E"/>
    <w:rsid w:val="723D67C5"/>
    <w:rsid w:val="726A5F44"/>
    <w:rsid w:val="72BF60CA"/>
    <w:rsid w:val="72F41282"/>
    <w:rsid w:val="73146C33"/>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CC1C43"/>
    <w:rsid w:val="78F9732D"/>
    <w:rsid w:val="7922350F"/>
    <w:rsid w:val="792B5470"/>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2023-02-17T12:46:03Z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